
<file path=[Content_Types].xml><?xml version="1.0" encoding="utf-8"?>
<Types xmlns="http://schemas.openxmlformats.org/package/2006/content-types">
  <Default Extension="rels" ContentType="application/vnd.openxmlformats-package.relationships+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image/png" PartName="/word/media/document_image_rId10.png"/>
  <Override ContentType="image/png" PartName="/word/media/document_image_rId11.png"/>
  <Override ContentType="image/png" PartName="/word/media/document_image_rId12.png"/>
  <Override ContentType="image/png" PartName="/word/media/document_image_rId13.png"/>
  <Override ContentType="image/png" PartName="/word/media/document_image_rId14.png"/>
  <Override ContentType="image/png" PartName="/word/media/document_image_rId15.png"/>
  <Override ContentType="image/png" PartName="/word/media/document_image_rId16.png"/>
  <Override ContentType="image/png" PartName="/word/media/document_image_rId17.png"/>
  <Override ContentType="image/png" PartName="/word/media/document_image_rId18.png"/>
  <Override ContentType="image/png" PartName="/word/media/document_image_rId19.png"/>
  <Override ContentType="image/png" PartName="/word/media/document_image_rId3.png"/>
  <Override ContentType="image/png" PartName="/word/media/document_image_rId4.png"/>
  <Override ContentType="image/png" PartName="/word/media/document_image_rId5.png"/>
  <Override ContentType="image/png" PartName="/word/media/document_image_rId6.png"/>
  <Override ContentType="image/png" PartName="/word/media/document_image_rId7.png"/>
  <Override ContentType="image/png" PartName="/word/media/document_image_rId8.png"/>
  <Override ContentType="image/png" PartName="/word/media/document_image_rId9.png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
<Relationships xmlns="http://schemas.openxmlformats.org/package/2006/relationships">
    <Relationship Target="word/document.xml" Type="http://schemas.openxmlformats.org/officeDocument/2006/relationships/officeDocument" Id="rId1"/>
    <Relationship Target="docProps/core.xml" Type="http://schemas.openxmlformats.org/package/2006/relationships/metadata/core-properties" Id="rId2"/>
    <Relationship Target="docProps/app.xml" Type="http://schemas.openxmlformats.org/officeDocument/2006/relationships/extended-properties" Id="rId3"/>
</Relationships>

</file>

<file path=word/document.xml><?xml version="1.0" encoding="utf-8"?>
<w:document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body>
    <w:p>
      <w:pPr>
        <w:pStyle w:val="Title"/>
      </w:pPr>
      <w:r>
        <w:t/>
      </w:r>
      <w:r>
        <w:t xml:space="preserve"/>
      </w:r>
      <w:r>
        <w:t xml:space="preserve">eRegQual analysis</w:t>
      </w:r>
    </w:p>
    <w:p>
      <w:pPr>
        <w:jc w:val="both"/>
      </w:pPr>
      <w:r>
        <w:t/>
      </w:r>
      <w:r>
        <w:t xml:space="preserve">Chris Rose, Norwegian Institute of Public Health </w:t>
      </w:r>
      <w:r>
        <w:t xml:space="preserve">(</w:t>
      </w:r>
      <w:r>
        <w:t xml:space="preserve">14 Jan 2021</w:t>
      </w:r>
      <w:r>
        <w:t xml:space="preserve">)</w:t>
      </w:r>
    </w:p>
    <w:p>
      <w:pPr>
        <w:jc w:val="both"/>
      </w:pPr>
      <w:r>
        <w:t/>
      </w:r>
      <w:r>
        <w:t xml:space="preserve">Generated using git revision: </w:t>
      </w:r>
      <w:r>
        <w:t xml:space="preserve">597715f</w:t>
      </w:r>
    </w:p>
    <w:p>
      <w:pPr>
        <w:pStyle w:val="Heading1"/>
      </w:pPr>
      <w:r>
        <w:t/>
      </w:r>
      <w:r>
        <w:t xml:space="preserve"/>
      </w:r>
      <w:r>
        <w:t xml:space="preserve">Introduction</w:t>
      </w:r>
    </w:p>
    <w:p>
      <w:pPr>
        <w:jc w:val="both"/>
      </w:pPr>
      <w:r>
        <w:t/>
      </w:r>
      <w:r>
        <w:t xml:space="preserve">This document presents the methods used to analyze the adverse pregnancy and </w:t>
      </w:r>
      <w:r>
        <w:t xml:space="preserve">process outcome data for the eRegQual trial and presents the results.</w:t>
      </w:r>
    </w:p>
    <w:p>
      <w:pPr>
        <w:pStyle w:val="Heading1"/>
      </w:pPr>
      <w:r>
        <w:t/>
      </w:r>
      <w:r>
        <w:t xml:space="preserve"/>
      </w:r>
      <w:r>
        <w:t xml:space="preserve">Methods</w:t>
      </w:r>
    </w:p>
    <w:p>
      <w:pPr>
        <w:jc w:val="both"/>
      </w:pPr>
      <w:r>
        <w:t/>
      </w:r>
      <w:r>
        <w:t xml:space="preserve">Because constituent outcome data were missing for about a third of participants </w:t>
      </w:r>
      <w:r>
        <w:t xml:space="preserve">(see results), we used Little's tests (Little 1988) of the null hypotheses that </w:t>
      </w:r>
      <w:r>
        <w:t xml:space="preserve">data were jointly missing completely at random (MCAR) and covariate-dependent </w:t>
      </w:r>
      <w:r>
        <w:t xml:space="preserve">missing (CDM). We then used multiple imputation via chained equations (van </w:t>
      </w:r>
      <w:r>
        <w:t xml:space="preserve">Buuren 2007) to create and analyze </w:t>
      </w:r>
      <w:r>
        <w:t xml:space="preserve">50</w:t>
      </w:r>
      <w:r>
        <w:t xml:space="preserve"> </w:t>
      </w:r>
      <w:r>
        <w:t xml:space="preserve">multiply-imputed datasets. We imputed using the auxiliary variables trial arm, </w:t>
      </w:r>
      <w:r>
        <w:t xml:space="preserve">years of education, average monthly household income (transformed to the log </w:t>
      </w:r>
      <w:r>
        <w:t xml:space="preserve">scale due to the skewed distribution of income), body mass index, ultrasound </w:t>
      </w:r>
      <w:r>
        <w:t xml:space="preserve">availability, and the variables used as constraints in the randomization </w:t>
      </w:r>
      <w:r>
        <w:t xml:space="preserve">(cluster size, age, lab availability, and parity). We were not able to include </w:t>
      </w:r>
      <w:r>
        <w:t xml:space="preserve">auxiliary variables that indicated previous pregnancy with pre-eclampsia or </w:t>
      </w:r>
      <w:r>
        <w:t xml:space="preserve">previous history of GDM due to collinearity. We evaluated convergence of the </w:t>
      </w:r>
      <w:r>
        <w:t xml:space="preserve">imputation algorithm by inspecting trace plots and evaluated imputed data by </w:t>
      </w:r>
      <w:r>
        <w:t xml:space="preserve">inspecting kernel density and histograms comparing the distributions of imputed </w:t>
      </w:r>
      <w:r>
        <w:t xml:space="preserve">and complete case data.</w:t>
      </w:r>
    </w:p>
    <w:p>
      <w:pPr>
        <w:jc w:val="both"/>
      </w:pPr>
      <w:r>
        <w:t/>
      </w:r>
      <w:r>
        <w:t xml:space="preserve">An adverse pregnancy outcome was defined to have occurred if at least one of the </w:t>
      </w:r>
      <w:r>
        <w:t xml:space="preserve">constituent outcomes occurred, and not to have occurred if none of the </w:t>
      </w:r>
      <w:r>
        <w:t xml:space="preserve">constituent outcomes occurred. For each imputed data set and outcome, we </w:t>
      </w:r>
      <w:r>
        <w:t xml:space="preserve">estimated an odds ratio to compare treatment to control using logistic </w:t>
      </w:r>
      <w:r>
        <w:t xml:space="preserve">regression, accounting for the cluster-randomized design using random effects. </w:t>
      </w:r>
      <w:r>
        <w:t xml:space="preserve">We combined estimates for each outcome using Rubin's rules (Rubin 2004). For </w:t>
      </w:r>
      <w:r>
        <w:t xml:space="preserve">comparison, we also performed a complete case analysis under the MCAR </w:t>
      </w:r>
      <w:r>
        <w:t xml:space="preserve">assumption. We estimated the intraclass correlation coefficient (ICC) using the </w:t>
      </w:r>
      <w:r>
        <w:t xml:space="preserve">complete cases. Because data on stillbirth was missing for less than </w:t>
      </w:r>
      <w:r>
        <w:t xml:space="preserve">5% of women (Jakobsen 2017), a complete case analysis was performed for this </w:t>
      </w:r>
      <w:r>
        <w:t xml:space="preserve">outcome.</w:t>
      </w:r>
    </w:p>
    <w:p>
      <w:pPr>
        <w:jc w:val="both"/>
      </w:pPr>
      <w:r>
        <w:t/>
      </w:r>
      <w:r>
        <w:t xml:space="preserve">We used logistic regression to estimate the relative odds of each of the process </w:t>
      </w:r>
      <w:r>
        <w:t xml:space="preserve">outcomes under the treatment versus control conditions. For outcomes measured at </w:t>
      </w:r>
      <w:r>
        <w:t xml:space="preserve">multiple time points, we modelled clustering within each pregnancy using </w:t>
      </w:r>
      <w:r>
        <w:t xml:space="preserve">random-effects, and computed cluster-robust standard errors to account for the </w:t>
      </w:r>
      <w:r>
        <w:t xml:space="preserve">cluster-randomized design. For outcomes measured at only one time point within </w:t>
      </w:r>
      <w:r>
        <w:t xml:space="preserve">each pregnancy, we accounted for the cluster-randomized design using random </w:t>
      </w:r>
      <w:r>
        <w:t xml:space="preserve">effects. For each of the process outcomes, we plotted marginal predictive </w:t>
      </w:r>
      <w:r>
        <w:t xml:space="preserve">probabilities of attendance or successful screening and management with respect </w:t>
      </w:r>
      <w:r>
        <w:t xml:space="preserve">to cluster size, age, laboratory availability, and parity. Age was either </w:t>
      </w:r>
      <w:r>
        <w:t xml:space="preserve">incorrectly coded or missing for no more than </w:t>
      </w:r>
      <w:r>
        <w:t xml:space="preserve"/>
      </w:r>
      <w:r>
        <w:t xml:space="preserve">1.3</w:t>
      </w:r>
      <w:r>
        <w:t xml:space="preserve">% of women across </w:t>
      </w:r>
      <w:r>
        <w:t xml:space="preserve">the process outcomes. Because process outcome data were missing for less than </w:t>
      </w:r>
      <w:r>
        <w:t xml:space="preserve">5% of women, we performed complete case analyses.</w:t>
      </w:r>
    </w:p>
    <w:p>
      <w:pPr>
        <w:jc w:val="both"/>
      </w:pPr>
      <w:r>
        <w:t/>
      </w:r>
      <w:r>
        <w:t xml:space="preserve">We adjusted for the stratification variable (CHMP 2015) as a fixed effect in all </w:t>
      </w:r>
      <w:r>
        <w:t xml:space="preserve">analyses except that for severe hypertension (due to chance, this relatively </w:t>
      </w:r>
      <w:r>
        <w:t xml:space="preserve">rare outcome could be predicted perfectly by that variable for a small </w:t>
      </w:r>
      <w:r>
        <w:t xml:space="preserve">proportion of the imputed data sets). We also adjusted for the variables used </w:t>
      </w:r>
      <w:r>
        <w:t xml:space="preserve">to constrain randomization (Li 2017) as fixed effects in all analyses, using </w:t>
      </w:r>
      <w:r>
        <w:t xml:space="preserve">individual- rather than cluster-level measurements where possible. We followed </w:t>
      </w:r>
      <w:r>
        <w:t xml:space="preserve">the intention-to-treat principle for all analyses: participants were </w:t>
      </w:r>
      <w:r>
        <w:t xml:space="preserve">analyzed in the arms to which they were randomized and — with the exception of </w:t>
      </w:r>
      <w:r>
        <w:t xml:space="preserve">the complete case analyses — all participants were included in the analyses. We </w:t>
      </w:r>
      <w:r>
        <w:t xml:space="preserve">computed 95% confidence intervals and used the significance criterion P&lt;0.05 </w:t>
      </w:r>
      <w:r>
        <w:t xml:space="preserve">throughout. Statistical analyses were performed using Stata 16 (StataCorp LLC, </w:t>
      </w:r>
      <w:r>
        <w:t xml:space="preserve">College Station, Texas, USA). The statistician was not involved in data </w:t>
      </w:r>
      <w:r>
        <w:t xml:space="preserve">extraction and was blinded to treatment allocation during analysis. Protocol </w:t>
      </w:r>
      <w:r>
        <w:t xml:space="preserve">deviations are documented in Appendix 1.</w:t>
      </w:r>
    </w:p>
    <w:p>
      <w:pPr>
        <w:pStyle w:val="Heading1"/>
      </w:pPr>
      <w:r>
        <w:t/>
      </w:r>
      <w:r>
        <w:t xml:space="preserve"/>
      </w:r>
      <w:r>
        <w:t xml:space="preserve">Results</w:t>
      </w:r>
    </w:p>
    <w:p>
      <w:pPr>
        <w:pStyle w:val="Heading2"/>
      </w:pPr>
      <w:r>
        <w:t/>
      </w:r>
      <w:r>
        <w:t xml:space="preserve"/>
      </w:r>
      <w:r>
        <w:t xml:space="preserve">Adverse pregnancy outcomes</w:t>
      </w:r>
    </w:p>
    <w:p>
      <w:pPr>
        <w:jc w:val="both"/>
      </w:pPr>
      <w:r>
        <w:t/>
      </w:r>
      <w:r>
        <w:t xml:space="preserve">Outcome data were missing for between </w:t>
      </w:r>
      <w:r>
        <w:t xml:space="preserve"/>
      </w:r>
      <w:r>
        <w:t xml:space="preserve">11.8</w:t>
      </w:r>
      <w:r>
        <w:t xml:space="preserve">% and </w:t>
      </w:r>
      <w:r>
        <w:t xml:space="preserve"/>
      </w:r>
      <w:r>
        <w:t xml:space="preserve">35.5</w:t>
      </w:r>
      <w:r>
        <w:t xml:space="preserve">% of the constituent </w:t>
      </w:r>
      <w:r>
        <w:t xml:space="preserve">outcomes, and </w:t>
      </w:r>
      <w:r>
        <w:t xml:space="preserve">33.8</w:t>
      </w:r>
      <w:r>
        <w:t xml:space="preserve">% of the </w:t>
      </w:r>
      <w:r>
        <w:t xml:space="preserve">composite outcome. We were unable to reject the MCAR and CDM hypotheses </w:t>
      </w:r>
      <w:r>
        <w:t xml:space="preserve">(P=</w:t>
      </w:r>
      <w:r>
        <w:t xml:space="preserve">0.15</w:t>
      </w:r>
      <w:r>
        <w:t xml:space="preserve"> and P=</w:t>
      </w:r>
      <w:r>
        <w:t xml:space="preserve"/>
      </w:r>
      <w:r>
        <w:t xml:space="preserve">0.64</w:t>
      </w:r>
      <w:r>
        <w:t xml:space="preserve">, respectively). Distributions </w:t>
      </w:r>
      <w:r>
        <w:t xml:space="preserve">of the original and the first five imputed data sets are shown in Appendix 2. </w:t>
      </w:r>
      <w:r>
        <w:t xml:space="preserve">Table 1 shows the result of the adverse pregnancy outcome analysis. The odds </w:t>
      </w:r>
      <w:r>
        <w:t xml:space="preserve">ratio was estimated to be </w:t>
      </w:r>
      <w:r>
        <w:t xml:space="preserve">1.00</w:t>
      </w:r>
      <w:r>
        <w:t xml:space="preserve"> </w:t>
      </w:r>
      <w:r>
        <w:t xml:space="preserve">(95% CI </w:t>
      </w:r>
      <w:r>
        <w:t xml:space="preserve">.</w:t>
      </w:r>
      <w:r>
        <w:t xml:space="preserve"> to </w:t>
      </w:r>
      <w:r>
        <w:t xml:space="preserve"/>
      </w:r>
      <w:r>
        <w:t xml:space="preserve">.</w:t>
      </w:r>
      <w:r>
        <w:t xml:space="preserve">, P = </w:t>
      </w:r>
      <w:r>
        <w:t xml:space="preserve"/>
      </w:r>
      <w:r>
        <w:t xml:space="preserve">.</w:t>
      </w:r>
      <w:r>
        <w:t xml:space="preserve">). This compares to the </w:t>
      </w:r>
      <w:r>
        <w:t xml:space="preserve">complete case odds ratio of </w:t>
      </w:r>
      <w:r>
        <w:t xml:space="preserve">1.00</w:t>
      </w:r>
      <w:r>
        <w:t xml:space="preserve"> </w:t>
      </w:r>
      <w:r>
        <w:t xml:space="preserve">(95% CI </w:t>
      </w:r>
      <w:r>
        <w:t xml:space="preserve">.</w:t>
      </w:r>
      <w:r>
        <w:t xml:space="preserve"> to </w:t>
      </w:r>
      <w:r>
        <w:t xml:space="preserve"/>
      </w:r>
      <w:r>
        <w:t xml:space="preserve">.</w:t>
      </w:r>
      <w:r>
        <w:t xml:space="preserve">, P = </w:t>
      </w:r>
      <w:r>
        <w:t xml:space="preserve"/>
      </w:r>
      <w:r>
        <w:t xml:space="preserve">.</w:t>
      </w:r>
      <w:r>
        <w:t xml:space="preserve">). Tables 2–6 show results for </w:t>
      </w:r>
      <w:r>
        <w:t xml:space="preserve">the constituent outcomes. The ICC was estimated to be close to zero and no </w:t>
      </w:r>
      <w:r>
        <w:t xml:space="preserve">greater than </w:t>
      </w:r>
      <w:r>
        <w:t xml:space="preserve">0.007</w:t>
      </w:r>
      <w:r>
        <w:t xml:space="preserve"> (upper bound of </w:t>
      </w:r>
      <w:r>
        <w:t xml:space="preserve">95% CI). Table 7 shows the result for the stillbirth outcome.</w:t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1. Adverse pregnancy outcome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1.12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2. Anemia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-0.82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3. Severe hypertension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1.31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4. SGA undetected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1.24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5. Malpresentation undetected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-0.44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1.27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6. Large for gestational age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7. Stillbirth (complete case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2.00</w:t>
            </w:r>
          </w:p>
        </w:tc>
      </w:tr>
    </w:tbl>
    <w:p>
      <w:r>
        <w:t/>
      </w:r>
    </w:p>
    <w:p>
      <w:pPr>
        <w:pStyle w:val="Heading2"/>
      </w:pPr>
      <w:r>
        <w:t/>
      </w:r>
      <w:r>
        <w:t xml:space="preserve"/>
      </w:r>
      <w:r>
        <w:t xml:space="preserve">Process outcomes — tables</w:t>
      </w:r>
    </w:p>
    <w:p>
      <w:pPr>
        <w:jc w:val="both"/>
      </w:pPr>
      <w:r>
        <w:t/>
      </w:r>
      <w:r>
        <w:t xml:space="preserve">The following tables show odds ratios comparing treatment to control for each </w:t>
      </w:r>
      <w:r>
        <w:t xml:space="preserve">process outcome. Full regression results are presented in Appendix 3.</w:t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8. Successful attendance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-1.47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9. Successful hypertension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1.62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2.05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10. Successful diabetes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1.83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11. Successful malpresentation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2.19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12. Successful anemia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1.88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5.89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2.32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13. Successful fetalgrowth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</w:pPr>
            <w:r>
              <w:t xml:space="preserve"> 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</w:tr>
    </w:tbl>
    <w:p>
      <w:r>
        <w:t/>
      </w:r>
    </w:p>
    <w:p>
      <w:pPr>
        <w:pStyle w:val="Heading2"/>
      </w:pPr>
      <w:r>
        <w:t/>
      </w:r>
      <w:r>
        <w:t xml:space="preserve"/>
      </w:r>
      <w:r>
        <w:t xml:space="preserve">Process outcomes — figures</w:t>
      </w:r>
    </w:p>
    <w:p>
      <w:pPr>
        <w:jc w:val="both"/>
      </w:pPr>
      <w:r>
        <w:t/>
      </w:r>
      <w:r>
        <w:t xml:space="preserve">The following figures show marginal predictive probabilities for each process </w:t>
      </w:r>
      <w:r>
        <w:t xml:space="preserve">outcome.</w:t>
      </w:r>
      <w:r>
        <w:drawing>
          <wp:inline distT="0" distB="0" distL="0" distR="0">
            <wp:extent cx="5943600" cy="4322282"/>
            <wp:effectExtent l="0" t="0" r="0" b="0"/>
            <wp:docPr id="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" name="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1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1"/>
      </w:pPr>
      <w:r>
        <w:t/>
      </w:r>
      <w:r>
        <w:t xml:space="preserve"/>
      </w:r>
      <w:r>
        <w:t xml:space="preserve">References</w:t>
      </w:r>
    </w:p>
    <w:p>
      <w:pPr>
        <w:jc w:val="both"/>
      </w:pPr>
      <w:r>
        <w:t/>
      </w:r>
      <w:r>
        <w:t xml:space="preserve">Committee for Medicinal Products for Human Use (CHMP) (2015). Guideline on </w:t>
      </w:r>
      <w:r>
        <w:t xml:space="preserve">adjustment for baseline covariates in clinical trials. London: European </w:t>
      </w:r>
      <w:r>
        <w:t xml:space="preserve">Medicines Agency.</w:t>
      </w:r>
    </w:p>
    <w:p>
      <w:pPr>
        <w:jc w:val="both"/>
      </w:pPr>
      <w:r>
        <w:t/>
      </w:r>
      <w:r>
        <w:t xml:space="preserve">van Buuren, S. (2007). Multiple imputation of discrete and continuous data by </w:t>
      </w:r>
      <w:r>
        <w:t xml:space="preserve">fully conditional specification. Statistical methods in medical research, </w:t>
      </w:r>
      <w:r>
        <w:t xml:space="preserve">16(3), 219-242.</w:t>
      </w:r>
    </w:p>
    <w:p>
      <w:pPr>
        <w:jc w:val="both"/>
      </w:pPr>
      <w:r>
        <w:t/>
      </w:r>
      <w:r>
        <w:t xml:space="preserve">Jakobsen, J. C., Gluud, C., Wetterslev, J., &amp; Winkel, P. (2017). When and how </w:t>
      </w:r>
      <w:r>
        <w:t xml:space="preserve">should multiple imputation be used for handling missing data in randomised </w:t>
      </w:r>
      <w:r>
        <w:t xml:space="preserve">clinical trials–a practical guide with flowcharts. BMC medical research </w:t>
      </w:r>
      <w:r>
        <w:t xml:space="preserve">methodology, 17(1), 162.</w:t>
      </w:r>
    </w:p>
    <w:p>
      <w:pPr>
        <w:jc w:val="both"/>
      </w:pPr>
      <w:r>
        <w:t/>
      </w:r>
      <w:r>
        <w:t xml:space="preserve">Li, F., Turner, E. L., Heagerty, P. J., Murray, D. M., Vollmer, W. M., &amp; </w:t>
      </w:r>
      <w:r>
        <w:t xml:space="preserve">DeLong, E. R. (2017). An evaluation of constrained randomization for the design </w:t>
      </w:r>
      <w:r>
        <w:t xml:space="preserve">and analysis of group‐randomized trials with binary outcomes. Statistics in </w:t>
      </w:r>
      <w:r>
        <w:t xml:space="preserve">medicine, 36(24), 3791-3806.</w:t>
      </w:r>
    </w:p>
    <w:p>
      <w:pPr>
        <w:jc w:val="both"/>
      </w:pPr>
      <w:r>
        <w:t/>
      </w:r>
      <w:r>
        <w:t xml:space="preserve">Little, R. J. (1988). A test of missing completely at random for multivariate </w:t>
      </w:r>
      <w:r>
        <w:t xml:space="preserve">data with missing values. Journal of the American statistical Association, </w:t>
      </w:r>
      <w:r>
        <w:t xml:space="preserve">83(404), 1198-1202.</w:t>
      </w:r>
    </w:p>
    <w:p>
      <w:pPr>
        <w:jc w:val="both"/>
      </w:pPr>
      <w:r>
        <w:t/>
      </w:r>
      <w:r>
        <w:t xml:space="preserve">Rubin, D. B. (2004). Multiple imputation for nonresponse in surveys (Vol. 81). </w:t>
      </w:r>
      <w:r>
        <w:t xml:space="preserve">John Wiley &amp; Sons.</w:t>
      </w:r>
    </w:p>
    <w:p>
      <w:pPr>
        <w:pStyle w:val="Heading1"/>
      </w:pPr>
      <w:r>
        <w:t/>
      </w:r>
      <w:r>
        <w:t xml:space="preserve"/>
      </w:r>
      <w:r>
        <w:t xml:space="preserve">Appendix 1 — Protocol Deviations</w:t>
      </w:r>
    </w:p>
    <w:p>
      <w:pPr>
        <w:jc w:val="both"/>
      </w:pPr>
      <w:r>
        <w:t/>
      </w:r>
      <w:r>
        <w:t xml:space="preserve">We planned to use generalized estimating equations (GEEs) but chose to use </w:t>
      </w:r>
      <w:r>
        <w:t xml:space="preserve">mixed-effects logistic regression throughout, which simplified the analyses. We </w:t>
      </w:r>
      <w:r>
        <w:t xml:space="preserve">planned to report risk ratios, but report odds ratios as provided by logistic </w:t>
      </w:r>
      <w:r>
        <w:t xml:space="preserve">regression. We did not plan to adjust for the stratification variable or the </w:t>
      </w:r>
      <w:r>
        <w:t xml:space="preserve">variables used as constraints in the randomization, but have done so based on </w:t>
      </w:r>
      <w:r>
        <w:t xml:space="preserve">guidance from the European Medicines Agency and research that was not available </w:t>
      </w:r>
      <w:r>
        <w:t xml:space="preserve">when the protocol was being developed. We planned to visually explore </w:t>
      </w:r>
      <w:r>
        <w:t xml:space="preserve">differences in process outcomes between clusters using spider graphs but judged </w:t>
      </w:r>
      <w:r>
        <w:t xml:space="preserve">that plots of marginal predictive probabilities show the required information </w:t>
      </w:r>
      <w:r>
        <w:t xml:space="preserve">more clearly and provide confidence intervals.</w:t>
      </w:r>
    </w:p>
    <w:p>
      <w:pPr>
        <w:pStyle w:val="Heading1"/>
      </w:pPr>
      <w:r>
        <w:t/>
      </w:r>
      <w:r>
        <w:t xml:space="preserve"/>
      </w:r>
      <w:r>
        <w:t xml:space="preserve">Appendix 2 — Imputation</w:t>
      </w:r>
    </w:p>
    <w:p>
      <w:pPr>
        <w:jc w:val="both"/>
      </w:pPr>
      <w:r>
        <w:t/>
      </w:r>
      <w:r>
        <w:t xml:space="preserve">The following figures show the distributions of the original and a selection of </w:t>
      </w:r>
      <w:r>
        <w:t xml:space="preserve">the imputed data.</w:t>
      </w:r>
      <w:r>
        <w:drawing>
          <wp:inline distT="0" distB="0" distL="0" distR="0">
            <wp:extent cx="5943600" cy="4322282"/>
            <wp:effectExtent l="0" t="0" r="0" b="0"/>
            <wp:docPr id="1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1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1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1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4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6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28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30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  <w:r>
        <w:drawing>
          <wp:inline distT="0" distB="0" distL="0" distR="0">
            <wp:extent cx="5943600" cy="4322282"/>
            <wp:effectExtent l="0" t="0" r="0" b="0"/>
            <wp:docPr id="32" name="" descr=""/>
            <wp:cNvGraphicFramePr>
              <a:graphicFrameLocks noChangeAspect="true"/>
            </wp:cNvGraphicFramePr>
            <a:graphic>
              <a:graphicData uri="http://schemas.openxmlformats.org/drawingml/2006/picture">
                <pic:pic>
                  <pic:nvPicPr>
                    <pic:cNvPr id="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  <w:br w:type="textWrapping"/>
      </w:r>
    </w:p>
    <w:p>
      <w:pPr>
        <w:pStyle w:val="Heading1"/>
      </w:pPr>
      <w:r>
        <w:t/>
      </w:r>
      <w:r>
        <w:t xml:space="preserve"/>
      </w:r>
      <w:r>
        <w:t xml:space="preserve">Appendix 3 — Full Regression Results</w:t>
      </w:r>
    </w:p>
    <w:p>
      <w:pPr>
        <w:pStyle w:val="Heading2"/>
      </w:pPr>
      <w:r>
        <w:t/>
      </w:r>
      <w:r>
        <w:t xml:space="preserve"/>
      </w:r>
      <w:r>
        <w:t xml:space="preserve">Health outcomes</w:t>
      </w:r>
    </w:p>
    <w:p>
      <w:pPr>
        <w:jc w:val="both"/>
      </w:pPr>
      <w:r>
        <w:t/>
      </w:r>
      <w:r>
        <w:t xml:space="preserve">The following tables show the full regression results for the health outcomes.</w:t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14. Adverse pregnancy outcome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-1.71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4.54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-8.91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0.22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-9.62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12.12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-33.37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14.13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1173.11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15. Anemia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y1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-0.82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3.56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3.51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3.43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1.70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3.93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-1.47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2.43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-3.79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-5.16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18.16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-40.76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30.44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0.69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4.08e+06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16. Severe hypertension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y2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-0.54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5.11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2.27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5.31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16.02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-8.17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-6.05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17.12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-39.60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27.50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934331.75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17. SGA undetected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y3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-0.23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-0.84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-2.62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1.36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1.72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-5.42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0.31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-3.07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0.77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-4.58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-1.55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0.22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0.46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0.06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18. Malpresentation undetected at birth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y4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-0.44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2.28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-0.54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1.91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1.70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3.05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2.71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-1.77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3.33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1.91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2.80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-9.21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-7.58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31.24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-68.80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53.64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0.35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4.45e+11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19. Large for gestational age (multiply-imputed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y5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t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P&gt;|t|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-0.33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6.48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-3.18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0.87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-12.31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-6.34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9.49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-24.93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12.25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457.63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20. Stillbirth (complete case result)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stillbirth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-1.94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-0.80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0.30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-1.84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-0.47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-0.55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2.55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-4.94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0.06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-2.62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5.39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-13.18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7.94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0.27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0.73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52.88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</w:tbl>
    <w:p>
      <w:r>
        <w:t/>
      </w:r>
    </w:p>
    <w:p>
      <w:pPr>
        <w:pStyle w:val="Heading2"/>
      </w:pPr>
      <w:r>
        <w:t/>
      </w:r>
      <w:r>
        <w:t xml:space="preserve"/>
      </w:r>
      <w:r>
        <w:t xml:space="preserve">Process outcomes</w:t>
      </w:r>
    </w:p>
    <w:p>
      <w:pPr>
        <w:jc w:val="both"/>
      </w:pPr>
      <w:r>
        <w:t/>
      </w:r>
      <w:r>
        <w:t xml:space="preserve"/>
      </w:r>
      <w:r>
        <w:t xml:space="preserve">The following tables show the full regression results for the process outcomes.</w:t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21. Successful attendance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-1.47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1.38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2.47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1.53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1.15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0.40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-3.76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0.64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0.60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0.44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0.76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1.35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1.25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1.46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0.39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22. Successful hypertension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1.62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1.78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2.53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1.16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32.99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9.50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12.14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18.76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58.02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-0.13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-0.61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0.36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0.94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0.74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1.20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0.30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23. Successful diabetes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-3.30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0.76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0.72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1.39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2.26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4.60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2.65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1.22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-10.86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-13.38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24. Successful malpresentation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3.07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3.55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2.43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9.89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2.60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1.74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3.61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2.50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2.70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1.28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4.86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1.56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1.71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2.61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1.48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2.38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2.05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0.85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0.44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-0.31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0.76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0.31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2.33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-0.24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-0.71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0.23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0.89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0.70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1.12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0.19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0.28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25. Successful anemia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1.88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5.89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1.52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2.32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0.61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-2.63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1.60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-3.06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0.74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-1.75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1.67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4.76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2.55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1.91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5.10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2.45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2.32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1.38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0.17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0.04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-8.35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0.26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-1.34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0.46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-2.25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-0.43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0.51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0.12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0.32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0.80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0.07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0.16</w:t>
            </w:r>
          </w:p>
        </w:tc>
      </w:tr>
    </w:tbl>
    <w:p>
      <w:r>
        <w:t/>
      </w:r>
    </w:p>
    <w:tbl>
      <w:tblPr>
        <w:tblStyle w:val="TableGrid"/>
        <w:tblBorders>
          <w:top w:val="nil" w:color="000000" w:shadow="false"/>
          <w:left w:val="nil" w:color="000000" w:shadow="false"/>
          <w:bottom w:val="nil" w:color="000000" w:shadow="false"/>
          <w:right w:val="nil" w:color="000000" w:shadow="false"/>
          <w:insideH w:val="nil" w:color="000000" w:shadow="false"/>
          <w:insideV w:val="nil" w:color="000000" w:shadow="false"/>
        </w:tblBorders>
      </w:tblPr>
      <w:tblGrid>
        <w:gridCol w:w="1337"/>
        <w:gridCol w:w="1337"/>
        <w:gridCol w:w="1337"/>
        <w:gridCol w:w="1337"/>
        <w:gridCol w:w="1337"/>
        <w:gridCol w:w="1337"/>
        <w:gridCol w:w="1337"/>
      </w:tblGrid>
      <w:tr>
        <w:tc>
          <w:tcPr>
            <w:gridSpan w:val="7"/>
            <w:tcBorders>
              <w:top w:val="nil" w:color="000000"/>
              <w:left w:val="nil" w:color="000000"/>
              <w:right w:val="nil" w:color="000000"/>
            </w:tcBorders>
          </w:tcPr>
          <w:p>
            <w:pPr>
              <w:spacing w:after="0"/>
            </w:pPr>
            <w:r>
              <w:t xml:space="preserve">Table 26. Successful fetalgrowth screening &amp; management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Odds Ratio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Robust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y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Std. Err.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z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P&gt;|z|</w:t>
            </w:r>
          </w:p>
        </w:tc>
        <w:tc>
          <w:tcPr>
            <w:tcW w:w="2674" w:type="dxa"/>
            <w:gridSpan w:val="2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[95% Conf. Interval]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arm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Intervention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0.15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-2.11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strat_var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8d9c30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1.19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2.56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9d5ed6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0.33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-1.70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1.18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e1e1d3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2.81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ff4457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3.92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3.16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1.68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9.14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cluster_size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0.99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-0.03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0.98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0.49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2.02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age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1.00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-0.25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0.97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1.03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lab_available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Lab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1.20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0.37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0.61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0.54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0.66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2.19</w:t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primiparous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/>
            </w:r>
          </w:p>
        </w:tc>
      </w:tr>
      <w:tr>
        <w:tc>
          <w:tcPr>
            <w:tcW w:w="1337" w:type="dxa"/>
            <w:tcBorders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Primi</w:t>
            </w:r>
          </w:p>
        </w:tc>
        <w:tc>
          <w:tcPr>
            <w:tcW w:w="1337" w:type="dxa"/>
            <w:tcBorders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1.24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0.25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1.06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0.29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0.83</w:t>
            </w:r>
          </w:p>
        </w:tc>
        <w:tc>
          <w:tcPr>
            <w:tcW w:w="1337" w:type="dxa"/>
          </w:tcPr>
          <w:p>
            <w:pPr>
              <w:spacing w:after="0"/>
              <w:jc w:val="right"/>
            </w:pPr>
            <w:r>
              <w:t xml:space="preserve">1.85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_cons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2.75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1.63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1.71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0.09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0.86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8.77</w:t>
            </w:r>
          </w:p>
        </w:tc>
      </w:tr>
      <w:tr>
        <w:tc>
          <w:tcPr>
            <w:tcW w:w="1337" w:type="dxa"/>
            <w:tcBorders>
              <w:top w:val="single" w:color="000000"/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/lnsig2u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-7.40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  <w:tr>
        <w:tc>
          <w:tcPr>
            <w:tcW w:w="1337" w:type="dxa"/>
            <w:tcBorders>
              <w:top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sigma_u</w:t>
            </w:r>
          </w:p>
        </w:tc>
        <w:tc>
          <w:tcPr>
            <w:tcW w:w="1337" w:type="dxa"/>
            <w:tcBorders>
              <w:top w:val="single" w:color="000000"/>
              <w:left w:val="single" w:color="000000"/>
            </w:tcBorders>
          </w:tcPr>
          <w:p>
            <w:pPr>
              <w:spacing w:after="0"/>
              <w:jc w:val="right"/>
            </w:pPr>
            <w:r>
              <w:t xml:space="preserve">0.02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top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  <w:tr>
        <w:tc>
          <w:tcPr>
            <w:tcW w:w="1337" w:type="dxa"/>
            <w:tcBorders>
              <w:bottom w:val="single" w:color="000000"/>
              <w:right w:val="single" w:color="000000"/>
            </w:tcBorders>
          </w:tcPr>
          <w:p>
            <w:pPr>
              <w:spacing w:after="0"/>
              <w:jc w:val="right"/>
            </w:pPr>
            <w:r>
              <w:t xml:space="preserve">rho</w:t>
            </w:r>
          </w:p>
        </w:tc>
        <w:tc>
          <w:tcPr>
            <w:tcW w:w="1337" w:type="dxa"/>
            <w:tcBorders>
              <w:left w:val="single" w:color="000000"/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0.00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/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  <w:tc>
          <w:tcPr>
            <w:tcW w:w="1337" w:type="dxa"/>
            <w:tcBorders>
              <w:bottom w:val="single" w:color="000000"/>
            </w:tcBorders>
          </w:tcPr>
          <w:p>
            <w:pPr>
              <w:spacing w:after="0"/>
              <w:jc w:val="right"/>
            </w:pPr>
            <w:r>
              <w:t xml:space="preserve">.</w:t>
            </w:r>
          </w:p>
        </w:tc>
      </w:tr>
    </w:tbl>
    <w:p>
      <w:r>
        <w:t/>
      </w:r>
    </w:p>
    <w:sectPr>
      <w:pgSz w:w="12240" w:h="15840" w:code="1"/>
      <w:pgMar w:top="1440" w:right="1440" w:bottom="1440" w:left="1440"/>
    </w:sectPr>
  </w:body>
</w:document>
</file>

<file path=word/settings.xml><?xml version="1.0" encoding="utf-8"?>
<w:setting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 mc:Ignorable="">
  <w:compat>
    <w:compatSetting w:name="overrideTableStyleFontSizeAndJustification" w:uri="http://schemas.microsoft.com/office/word" w:val="1"/>
  </w:compat>
</w:settings>
</file>

<file path=word/styles.xml><?xml version="1.0" encoding="utf-8"?>
<w:styles xmlns:w="http://schemas.openxmlformats.org/wordprocessingml/2006/main" xmlns:r="http://schemas.openxmlformats.org/officeDocument/2006/relationships" xmlns:w15="http://schemas.microsoft.com/office/word/2012/wordml" xmlns:w14="http://schemas.microsoft.com/office/word/2010/wordml" xmlns:m="http://schemas.openxmlformats.org/officeDocument/2006/math" xmlns:wp="http://schemas.openxmlformats.org/drawingml/2006/wordprocessingDrawing" xmlns:a="http://schemas.openxmlformats.org/drawingml/2006/main" xmlns:wp14="http://schemas.microsoft.com/office/word/2010/wordprocessingDrawing" xmlns:mc="http://schemas.openxmlformats.org/markup-compatibility/2006" xmlns:sl="http://schemas.openxmlformats.org/schemaLibrary/2006/main" xmlns:wne="http://schemas.microsoft.com/office/word/2006/wordml" xmlns:c="http://schemas.openxmlformats.org/drawingml/2006/chart" xmlns:cdr="http://schemas.openxmlformats.org/drawingml/2006/chartDrawing" xmlns:c14="http://schemas.microsoft.com/office/drawing/2007/8/2/chart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xvml="urn:schemas-microsoft-com:office:excel" xmlns:o="urn:schemas-microsoft-com:office:office" xmlns:v="urn:schemas-microsoft-com:vml" xmlns:w10="urn:schemas-microsoft-com:office:word" xmlns:pvml="urn:schemas-microsoft-com:office:powerpoint" xmlns:cppr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16se="http://schemas.microsoft.com/office/word/2015/wordml/symex" xmlns:w16cid="http://schemas.microsoft.com/office/word/2016/wordml/cid" xmlns:wetp="http://schemas.microsoft.com/office/webextensions/taskpanes/2010/11" xmlns:we="http://schemas.microsoft.com/office/webextensions/webextension/2010/11" xmlns:comp="http://schemas.openxmlformats.org/drawingml/2006/compatibility" xmlns:lc="http://schemas.openxmlformats.org/drawingml/2006/lockedCanvas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false" w:defUIPriority="99" w:defSemiHidden="true" w:defUnhideWhenUsed="true" w:defQFormat="false" w:count="267">
    <w:lsdException w:name="Normal" w:uiPriority="0" w:semiHidden="false" w:unhideWhenUsed="false" w:qFormat="true"/>
    <w:lsdException w:name="heading 1" w:uiPriority="9" w:semiHidden="false" w:unhideWhenUsed="false" w:qFormat="true"/>
    <w:lsdException w:name="heading 2" w:uiPriority="9" w:qFormat="true"/>
    <w:lsdException w:name="heading 3" w:uiPriority="9" w:qFormat="true"/>
    <w:lsdException w:name="heading 4" w:uiPriority="9" w:qFormat="true"/>
    <w:lsdException w:name="Title" w:uiPriority="10" w:semiHidden="false" w:unhideWhenUsed="false" w:qFormat="true"/>
    <w:lsdException w:name="Default Paragraph Font" w:uiPriority="1"/>
    <w:lsdException w:name="Subtitle" w:uiPriority="11" w:semiHidden="false" w:unhideWhenUsed="false" w:qFormat="true"/>
    <w:lsdException w:name="Emphasis" w:uiPriority="20" w:semiHidden="false" w:unhideWhenUsed="false" w:qFormat="true"/>
    <w:lsdException w:name="Table Grid" w:uiPriority="59" w:semiHidden="false" w:unhideWhenUsed="false"/>
  </w:latentStyles>
  <w:style w:type="paragraph" w:styleId="Normal" w:default="true">
    <w:name w:val="Normal"/>
    <w:qFormat/>
    <w:rsid w:val="004A3277"/>
  </w:style>
  <w:style w:type="paragraph" w:styleId="Heading1">
    <w:name w:val="heading 1"/>
    <w:basedOn w:val="Normal"/>
    <w:next w:val="Normal"/>
    <w:link w:val="Heading1Char"/>
    <w:uiPriority w:val="9"/>
    <w:qFormat/>
    <w:rsid w:val="00841CD9"/>
    <w:pPr>
      <w:keepNext/>
      <w:keepLines/>
      <w:spacing w:before="48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CD9"/>
    <w:pPr>
      <w:keepNext/>
      <w:keepLines/>
      <w:spacing w:before="20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41CD9"/>
    <w:pPr>
      <w:keepNext/>
      <w:keepLines/>
      <w:spacing w:before="20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41CD9"/>
    <w:pPr>
      <w:keepNext/>
      <w:keepLines/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DefaultParagraphFont" w:default="true">
    <w:name w:val="Default Paragraph Font"/>
    <w:uiPriority w:val="1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41CD9"/>
    <w:pPr>
      <w:tabs>
        <w:tab w:val="center" w:pos="4680"/>
        <w:tab w:val="right" w:pos="9360"/>
      </w:tabs>
    </w:pPr>
  </w:style>
  <w:style w:type="character" w:styleId="HeaderChar" w:customStyle="true">
    <w:name w:val="Header Char"/>
    <w:basedOn w:val="DefaultParagraphFont"/>
    <w:link w:val="Header"/>
    <w:uiPriority w:val="99"/>
    <w:rsid w:val="00841CD9"/>
  </w:style>
  <w:style w:type="character" w:styleId="Heading1Char" w:customStyle="true">
    <w:name w:val="Heading 1 Char"/>
    <w:basedOn w:val="DefaultParagraphFont"/>
    <w:link w:val="Heading1"/>
    <w:uiPriority w:val="9"/>
    <w:rsid w:val="00841CD9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true">
    <w:name w:val="Heading 2 Char"/>
    <w:basedOn w:val="DefaultParagraphFont"/>
    <w:link w:val="Heading2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true">
    <w:name w:val="Heading 3 Char"/>
    <w:basedOn w:val="DefaultParagraphFont"/>
    <w:link w:val="Heading3"/>
    <w:uiPriority w:val="9"/>
    <w:rsid w:val="00841CD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Heading4Char" w:customStyle="true">
    <w:name w:val="Heading 4 Char"/>
    <w:basedOn w:val="DefaultParagraphFont"/>
    <w:link w:val="Heading4"/>
    <w:uiPriority w:val="9"/>
    <w:rsid w:val="00841CD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NormalIndent">
    <w:name w:val="Normal Indent"/>
    <w:basedOn w:val="Normal"/>
    <w:uiPriority w:val="99"/>
    <w:unhideWhenUsed/>
    <w:rsid w:val="00841CD9"/>
    <w:pPr>
      <w:ind w:left="720"/>
    </w:pPr>
  </w:style>
  <w:style w:type="paragraph" w:styleId="Subtitle">
    <w:name w:val="Subtitle"/>
    <w:basedOn w:val="Normal"/>
    <w:next w:val="Normal"/>
    <w:link w:val="SubtitleChar"/>
    <w:uiPriority w:val="11"/>
    <w:qFormat/>
    <w:rsid w:val="00841CD9"/>
    <w:pPr>
      <w:numPr>
        <w:ilvl w:val="1"/>
      </w:num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true">
    <w:name w:val="Subtitle Char"/>
    <w:basedOn w:val="DefaultParagraphFont"/>
    <w:link w:val="Subtitle"/>
    <w:uiPriority w:val="11"/>
    <w:rsid w:val="00841CD9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841CD9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true">
    <w:name w:val="Title Char"/>
    <w:basedOn w:val="DefaultParagraphFont"/>
    <w:link w:val="Title"/>
    <w:uiPriority w:val="10"/>
    <w:rsid w:val="00841CD9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Emphasis">
    <w:name w:val="Emphasis"/>
    <w:basedOn w:val="DefaultParagraphFont"/>
    <w:uiPriority w:val="20"/>
    <w:qFormat/>
    <w:rsid w:val="00D1197D"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Normal" w:default="true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Caption">
    <w:name w:val="caption"/>
    <w:basedOn w:val="Normal"/>
    <w:next w:val="Normal"/>
    <w:uiPriority w:val="35"/>
    <w:semiHidden/>
    <w:unhideWhenUsed/>
    <w:qFormat/>
    <w:rsid w:val="007109C0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_rels/document.xml.rels><?xml version="1.0" encoding="UTF-8" standalone="yes"?>
<Relationships xmlns="http://schemas.openxmlformats.org/package/2006/relationships">
    <Relationship Target="styles.xml" Type="http://schemas.openxmlformats.org/officeDocument/2006/relationships/styles" Id="rId1"/>
    <Relationship Target="settings.xml" Type="http://schemas.openxmlformats.org/officeDocument/2006/relationships/settings" Id="rId2"/>
    <Relationship Target="media/document_image_rId3.png" Type="http://schemas.openxmlformats.org/officeDocument/2006/relationships/image" Id="rId3"/>
    <Relationship Target="media/document_image_rId4.png" Type="http://schemas.openxmlformats.org/officeDocument/2006/relationships/image" Id="rId4"/>
    <Relationship Target="media/document_image_rId5.png" Type="http://schemas.openxmlformats.org/officeDocument/2006/relationships/image" Id="rId5"/>
    <Relationship Target="media/document_image_rId6.png" Type="http://schemas.openxmlformats.org/officeDocument/2006/relationships/image" Id="rId6"/>
    <Relationship Target="media/document_image_rId7.png" Type="http://schemas.openxmlformats.org/officeDocument/2006/relationships/image" Id="rId7"/>
    <Relationship Target="media/document_image_rId8.png" Type="http://schemas.openxmlformats.org/officeDocument/2006/relationships/image" Id="rId8"/>
    <Relationship Target="media/document_image_rId9.png" Type="http://schemas.openxmlformats.org/officeDocument/2006/relationships/image" Id="rId9"/>
    <Relationship Target="media/document_image_rId10.png" Type="http://schemas.openxmlformats.org/officeDocument/2006/relationships/image" Id="rId10"/>
    <Relationship Target="media/document_image_rId11.png" Type="http://schemas.openxmlformats.org/officeDocument/2006/relationships/image" Id="rId11"/>
    <Relationship Target="media/document_image_rId12.png" Type="http://schemas.openxmlformats.org/officeDocument/2006/relationships/image" Id="rId12"/>
    <Relationship Target="media/document_image_rId13.png" Type="http://schemas.openxmlformats.org/officeDocument/2006/relationships/image" Id="rId13"/>
    <Relationship Target="media/document_image_rId14.png" Type="http://schemas.openxmlformats.org/officeDocument/2006/relationships/image" Id="rId14"/>
    <Relationship Target="media/document_image_rId15.png" Type="http://schemas.openxmlformats.org/officeDocument/2006/relationships/image" Id="rId15"/>
    <Relationship Target="media/document_image_rId16.png" Type="http://schemas.openxmlformats.org/officeDocument/2006/relationships/image" Id="rId16"/>
    <Relationship Target="media/document_image_rId17.png" Type="http://schemas.openxmlformats.org/officeDocument/2006/relationships/image" Id="rId17"/>
    <Relationship Target="media/document_image_rId18.png" Type="http://schemas.openxmlformats.org/officeDocument/2006/relationships/image" Id="rId18"/>
    <Relationship Target="media/document_image_rId19.png" Type="http://schemas.openxmlformats.org/officeDocument/2006/relationships/image" Id="rId19"/>
</Relationships>

</file>

<file path=docProps/app.xml><?xml version="1.0" encoding="utf-8"?>
<properties:Properties xmlns:vt="http://schemas.openxmlformats.org/officeDocument/2006/docPropsVTypes" xmlns:properties="http://schemas.openxmlformats.org/officeDocument/2006/extended-properties"/>
</file>

<file path=docProps/core.xml><?xml version="1.0" encoding="utf-8"?>
<cp:coreProperties xmlns:cp="http://schemas.openxmlformats.org/package/2006/metadata/core-properties" xmlns:dcterms="http://purl.org/dc/terms/" xmlns:dc="http://purl.org/dc/elements/1.1/"/>
</file>